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BA2EBF">
        <w:rPr>
          <w:b/>
        </w:rPr>
        <w:t>вересень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</w:t>
      </w:r>
      <w:r w:rsidR="00BA2EBF">
        <w:rPr>
          <w:sz w:val="28"/>
          <w:szCs w:val="28"/>
          <w:lang w:val="uk-UA"/>
        </w:rPr>
        <w:t>вересень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BA2EBF">
        <w:rPr>
          <w:sz w:val="28"/>
          <w:szCs w:val="28"/>
          <w:lang w:val="uk-UA"/>
        </w:rPr>
        <w:t>614644,0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BA2EBF">
        <w:rPr>
          <w:sz w:val="28"/>
          <w:szCs w:val="28"/>
          <w:lang w:val="uk-UA"/>
        </w:rPr>
        <w:t>1,9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F32E5F">
        <w:rPr>
          <w:sz w:val="28"/>
          <w:szCs w:val="28"/>
          <w:lang w:val="uk-UA"/>
        </w:rPr>
        <w:t>1</w:t>
      </w:r>
      <w:r w:rsidR="009B2549">
        <w:rPr>
          <w:sz w:val="28"/>
          <w:szCs w:val="28"/>
          <w:lang w:val="uk-UA"/>
        </w:rPr>
        <w:t>1,</w:t>
      </w:r>
      <w:r w:rsidR="00BA2EBF">
        <w:rPr>
          <w:sz w:val="28"/>
          <w:szCs w:val="28"/>
          <w:lang w:val="uk-UA"/>
        </w:rPr>
        <w:t>7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F32E5F">
        <w:rPr>
          <w:sz w:val="28"/>
          <w:szCs w:val="28"/>
          <w:lang w:val="uk-UA"/>
        </w:rPr>
        <w:t>4</w:t>
      </w:r>
      <w:r w:rsidR="00BA2EBF">
        <w:rPr>
          <w:sz w:val="28"/>
          <w:szCs w:val="28"/>
          <w:lang w:val="uk-UA"/>
        </w:rPr>
        <w:t>4037,8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9B2549">
        <w:rPr>
          <w:sz w:val="28"/>
          <w:szCs w:val="28"/>
          <w:lang w:val="uk-UA"/>
        </w:rPr>
        <w:t>7</w:t>
      </w:r>
      <w:r w:rsidR="00F32E5F">
        <w:rPr>
          <w:sz w:val="28"/>
          <w:szCs w:val="28"/>
          <w:lang w:val="uk-UA"/>
        </w:rPr>
        <w:t>,</w:t>
      </w:r>
      <w:r w:rsidR="00BA2EBF">
        <w:rPr>
          <w:sz w:val="28"/>
          <w:szCs w:val="28"/>
          <w:lang w:val="uk-UA"/>
        </w:rPr>
        <w:t>7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9B2549">
        <w:rPr>
          <w:sz w:val="28"/>
          <w:szCs w:val="28"/>
          <w:lang w:val="uk-UA"/>
        </w:rPr>
        <w:t>3</w:t>
      </w:r>
      <w:r w:rsidR="00BA2EBF">
        <w:rPr>
          <w:sz w:val="28"/>
          <w:szCs w:val="28"/>
          <w:lang w:val="uk-UA"/>
        </w:rPr>
        <w:t xml:space="preserve">7634,1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BA2EBF">
        <w:rPr>
          <w:sz w:val="28"/>
          <w:szCs w:val="28"/>
          <w:lang w:val="uk-UA"/>
        </w:rPr>
        <w:t>9,5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акцизний податок – на </w:t>
      </w:r>
      <w:r w:rsidR="00F32E5F">
        <w:rPr>
          <w:sz w:val="28"/>
          <w:szCs w:val="28"/>
          <w:lang w:val="uk-UA"/>
        </w:rPr>
        <w:t>3</w:t>
      </w:r>
      <w:r w:rsidR="009B2549">
        <w:rPr>
          <w:sz w:val="28"/>
          <w:szCs w:val="28"/>
          <w:lang w:val="uk-UA"/>
        </w:rPr>
        <w:t>387,</w:t>
      </w:r>
      <w:r w:rsidR="00BA2EBF">
        <w:rPr>
          <w:sz w:val="28"/>
          <w:szCs w:val="28"/>
          <w:lang w:val="uk-UA"/>
        </w:rPr>
        <w:t>0</w:t>
      </w:r>
      <w:r w:rsidR="00BF3066">
        <w:rPr>
          <w:sz w:val="28"/>
          <w:szCs w:val="28"/>
          <w:lang w:val="uk-UA"/>
        </w:rPr>
        <w:t xml:space="preserve">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 xml:space="preserve">. або на </w:t>
      </w:r>
      <w:r w:rsidR="00BA2EBF">
        <w:rPr>
          <w:sz w:val="28"/>
          <w:szCs w:val="28"/>
          <w:lang w:val="uk-UA"/>
        </w:rPr>
        <w:t>9,8</w:t>
      </w:r>
      <w:r w:rsidR="00BF3066">
        <w:rPr>
          <w:sz w:val="28"/>
          <w:szCs w:val="28"/>
          <w:lang w:val="uk-UA"/>
        </w:rPr>
        <w:t>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BA2EBF">
        <w:rPr>
          <w:sz w:val="28"/>
          <w:szCs w:val="28"/>
          <w:lang w:val="uk-UA"/>
        </w:rPr>
        <w:t>7841,5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BA2EBF">
        <w:rPr>
          <w:sz w:val="28"/>
          <w:szCs w:val="28"/>
          <w:lang w:val="uk-UA"/>
        </w:rPr>
        <w:t>9,5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9790F">
        <w:rPr>
          <w:sz w:val="28"/>
          <w:szCs w:val="28"/>
          <w:lang w:val="uk-UA"/>
        </w:rPr>
        <w:t>1</w:t>
      </w:r>
      <w:r w:rsidR="00F32E5F">
        <w:rPr>
          <w:sz w:val="28"/>
          <w:szCs w:val="28"/>
          <w:lang w:val="uk-UA"/>
        </w:rPr>
        <w:t>5</w:t>
      </w:r>
      <w:r w:rsidR="00BA2EBF">
        <w:rPr>
          <w:sz w:val="28"/>
          <w:szCs w:val="28"/>
          <w:lang w:val="uk-UA"/>
        </w:rPr>
        <w:t>862,0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9790F">
        <w:rPr>
          <w:sz w:val="28"/>
          <w:szCs w:val="28"/>
          <w:lang w:val="uk-UA"/>
        </w:rPr>
        <w:t>1</w:t>
      </w:r>
      <w:r w:rsidR="00BA2EBF">
        <w:rPr>
          <w:sz w:val="28"/>
          <w:szCs w:val="28"/>
          <w:lang w:val="uk-UA"/>
        </w:rPr>
        <w:t>5254,2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 w:rsidR="00A35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порівнянні з минулим роком </w:t>
      </w:r>
      <w:r w:rsidR="00D97A6F">
        <w:rPr>
          <w:sz w:val="28"/>
          <w:szCs w:val="28"/>
          <w:lang w:val="uk-UA"/>
        </w:rPr>
        <w:t xml:space="preserve">надходження </w:t>
      </w:r>
      <w:r w:rsidR="00A35CC0">
        <w:rPr>
          <w:sz w:val="28"/>
          <w:szCs w:val="28"/>
          <w:lang w:val="uk-UA"/>
        </w:rPr>
        <w:t>зменшилися</w:t>
      </w:r>
      <w:r w:rsidR="00D97A6F">
        <w:rPr>
          <w:sz w:val="28"/>
          <w:szCs w:val="28"/>
          <w:lang w:val="uk-UA"/>
        </w:rPr>
        <w:t xml:space="preserve"> на </w:t>
      </w:r>
      <w:r w:rsidR="00BA2EBF">
        <w:rPr>
          <w:sz w:val="28"/>
          <w:szCs w:val="28"/>
          <w:lang w:val="uk-UA"/>
        </w:rPr>
        <w:t>43872,1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9B2549">
        <w:rPr>
          <w:sz w:val="28"/>
          <w:szCs w:val="28"/>
          <w:lang w:val="uk-UA"/>
        </w:rPr>
        <w:t xml:space="preserve">у </w:t>
      </w:r>
      <w:r w:rsidR="00BA2EBF">
        <w:rPr>
          <w:sz w:val="28"/>
          <w:szCs w:val="28"/>
          <w:lang w:val="uk-UA"/>
        </w:rPr>
        <w:t>3,8</w:t>
      </w:r>
      <w:r w:rsidR="009B2549">
        <w:rPr>
          <w:sz w:val="28"/>
          <w:szCs w:val="28"/>
          <w:lang w:val="uk-UA"/>
        </w:rPr>
        <w:t xml:space="preserve"> разів</w:t>
      </w:r>
      <w:r w:rsidR="00A35CC0">
        <w:rPr>
          <w:sz w:val="28"/>
          <w:szCs w:val="28"/>
          <w:lang w:val="uk-UA"/>
        </w:rPr>
        <w:t xml:space="preserve"> </w:t>
      </w:r>
      <w:r w:rsidR="00512774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внаслідок скорочення</w:t>
      </w:r>
      <w:r w:rsidR="00512774">
        <w:rPr>
          <w:sz w:val="28"/>
          <w:szCs w:val="28"/>
          <w:lang w:val="uk-UA"/>
        </w:rPr>
        <w:t xml:space="preserve">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F32E5F">
        <w:rPr>
          <w:b/>
          <w:sz w:val="28"/>
          <w:szCs w:val="28"/>
          <w:lang w:val="uk-UA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</w:t>
      </w:r>
      <w:r w:rsidR="00BA2EBF">
        <w:rPr>
          <w:b/>
          <w:sz w:val="28"/>
          <w:szCs w:val="28"/>
          <w:lang w:val="uk-UA"/>
        </w:rPr>
        <w:t>вересень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F32E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F32E5F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 w:rsidRPr="00F32E5F">
        <w:rPr>
          <w:b/>
          <w:sz w:val="28"/>
          <w:szCs w:val="28"/>
          <w:lang w:val="uk-UA"/>
        </w:rPr>
        <w:t xml:space="preserve"> рок</w:t>
      </w:r>
      <w:r w:rsidR="003B7B65">
        <w:rPr>
          <w:b/>
          <w:sz w:val="28"/>
          <w:szCs w:val="28"/>
          <w:lang w:val="uk-UA"/>
        </w:rPr>
        <w:t>ів</w:t>
      </w:r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Pr="00F32E5F" w:rsidRDefault="00C571CD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EC788B" w:rsidRDefault="00EC788B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січень-</w:t>
      </w:r>
      <w:r w:rsidR="00555AD8">
        <w:rPr>
          <w:rFonts w:ascii="Times New Roman" w:hAnsi="Times New Roman"/>
          <w:sz w:val="28"/>
          <w:szCs w:val="28"/>
        </w:rPr>
        <w:t>вересень</w:t>
      </w:r>
      <w:r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міста з урахуванням субвенцій з інших рівнів бюджетів склали </w:t>
      </w:r>
      <w:r w:rsidR="00555AD8">
        <w:rPr>
          <w:rFonts w:ascii="Times New Roman" w:hAnsi="Times New Roman"/>
          <w:kern w:val="2"/>
          <w:sz w:val="28"/>
          <w:szCs w:val="28"/>
        </w:rPr>
        <w:t>776 029,8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555AD8">
        <w:rPr>
          <w:rFonts w:ascii="Times New Roman" w:hAnsi="Times New Roman"/>
          <w:kern w:val="2"/>
          <w:sz w:val="28"/>
          <w:szCs w:val="28"/>
        </w:rPr>
        <w:t>67,3</w:t>
      </w:r>
      <w:r>
        <w:rPr>
          <w:rFonts w:ascii="Times New Roman" w:hAnsi="Times New Roman"/>
          <w:kern w:val="2"/>
          <w:sz w:val="28"/>
          <w:szCs w:val="28"/>
        </w:rPr>
        <w:t>% до річного плану 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55AD8">
        <w:rPr>
          <w:rFonts w:ascii="Times New Roman" w:hAnsi="Times New Roman"/>
          <w:sz w:val="28"/>
          <w:szCs w:val="28"/>
        </w:rPr>
        <w:t>84,6</w:t>
      </w:r>
      <w:r>
        <w:rPr>
          <w:rFonts w:ascii="Times New Roman" w:hAnsi="Times New Roman"/>
          <w:sz w:val="28"/>
          <w:szCs w:val="28"/>
        </w:rPr>
        <w:t xml:space="preserve">% до плану на звітний період. Із загального обсягу видатків </w:t>
      </w:r>
      <w:r w:rsidR="00967419">
        <w:rPr>
          <w:rFonts w:ascii="Times New Roman" w:hAnsi="Times New Roman"/>
          <w:sz w:val="28"/>
          <w:szCs w:val="28"/>
        </w:rPr>
        <w:t>158 729,1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20,</w:t>
      </w:r>
      <w:r w:rsidR="009674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967419">
        <w:rPr>
          <w:rFonts w:ascii="Times New Roman" w:hAnsi="Times New Roman"/>
          <w:sz w:val="28"/>
          <w:szCs w:val="28"/>
        </w:rPr>
        <w:t>617 300,7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79,</w:t>
      </w:r>
      <w:r w:rsidR="009674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EC788B" w:rsidRDefault="00EC788B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397DAC">
        <w:rPr>
          <w:rFonts w:ascii="Times New Roman" w:hAnsi="Times New Roman"/>
          <w:sz w:val="28"/>
          <w:szCs w:val="28"/>
        </w:rPr>
        <w:t>375 490,4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48,</w:t>
      </w:r>
      <w:r w:rsidR="00397D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397DAC">
        <w:rPr>
          <w:rFonts w:ascii="Times New Roman" w:hAnsi="Times New Roman"/>
          <w:sz w:val="28"/>
          <w:szCs w:val="28"/>
        </w:rPr>
        <w:t>11 117,2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</w:t>
      </w:r>
      <w:r w:rsidR="00397D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8E5313">
        <w:rPr>
          <w:rFonts w:ascii="Times New Roman" w:hAnsi="Times New Roman"/>
          <w:sz w:val="28"/>
          <w:szCs w:val="28"/>
        </w:rPr>
        <w:t>37 858,9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4,9% – фінансова підтримка комунальних підприємств охорони здоров’я, </w:t>
      </w:r>
      <w:r w:rsidR="00590623">
        <w:rPr>
          <w:rFonts w:ascii="Times New Roman" w:hAnsi="Times New Roman"/>
          <w:sz w:val="28"/>
          <w:szCs w:val="28"/>
        </w:rPr>
        <w:t>27 227,0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3,5% – матеріальна допомога громадянам міста, </w:t>
      </w:r>
      <w:r w:rsidR="00024B6B">
        <w:rPr>
          <w:rFonts w:ascii="Times New Roman" w:hAnsi="Times New Roman"/>
          <w:sz w:val="28"/>
          <w:szCs w:val="28"/>
        </w:rPr>
        <w:t>17 223,1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(2,2%) – компенсаційні виплати за пільговий проїзд містян відповідних категорій, </w:t>
      </w:r>
      <w:r w:rsidR="00024B6B">
        <w:rPr>
          <w:rFonts w:ascii="Times New Roman" w:hAnsi="Times New Roman"/>
          <w:sz w:val="28"/>
          <w:szCs w:val="28"/>
        </w:rPr>
        <w:t>206 110,5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024B6B">
        <w:rPr>
          <w:rFonts w:ascii="Times New Roman" w:hAnsi="Times New Roman"/>
          <w:sz w:val="28"/>
          <w:szCs w:val="28"/>
        </w:rPr>
        <w:t>26,6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024B6B">
        <w:rPr>
          <w:rFonts w:ascii="Times New Roman" w:hAnsi="Times New Roman"/>
          <w:sz w:val="28"/>
          <w:szCs w:val="28"/>
        </w:rPr>
        <w:t>12 254,3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1,</w:t>
      </w:r>
      <w:r w:rsidR="00024B6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024B6B">
        <w:rPr>
          <w:rFonts w:ascii="Times New Roman" w:hAnsi="Times New Roman"/>
          <w:sz w:val="28"/>
          <w:szCs w:val="28"/>
        </w:rPr>
        <w:t>48 743,2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(6,</w:t>
      </w:r>
      <w:r w:rsidR="00024B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%) – усунення наслідків ворожих обстрілів. На виконання міських програм підтримки діяльності силових структур міста, </w:t>
      </w:r>
      <w:r w:rsidR="00024B6B">
        <w:rPr>
          <w:rFonts w:ascii="Times New Roman" w:hAnsi="Times New Roman"/>
          <w:sz w:val="28"/>
          <w:szCs w:val="28"/>
        </w:rPr>
        <w:t xml:space="preserve">районної військової адміністрації, </w:t>
      </w:r>
      <w:r>
        <w:rPr>
          <w:rFonts w:ascii="Times New Roman" w:hAnsi="Times New Roman"/>
          <w:sz w:val="28"/>
          <w:szCs w:val="28"/>
        </w:rPr>
        <w:t xml:space="preserve">заходів мобілізаційної роботи та територіальної оборони за звітний період використано </w:t>
      </w:r>
      <w:r w:rsidR="006A7499">
        <w:rPr>
          <w:rFonts w:ascii="Times New Roman" w:hAnsi="Times New Roman"/>
          <w:sz w:val="28"/>
          <w:szCs w:val="28"/>
        </w:rPr>
        <w:t>7 726,7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9011E0">
        <w:rPr>
          <w:rFonts w:ascii="Times New Roman" w:hAnsi="Times New Roman"/>
          <w:sz w:val="28"/>
          <w:szCs w:val="28"/>
        </w:rPr>
        <w:t>4 921,1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9011E0">
        <w:rPr>
          <w:rFonts w:ascii="Times New Roman" w:hAnsi="Times New Roman"/>
          <w:sz w:val="28"/>
          <w:szCs w:val="28"/>
        </w:rPr>
        <w:t>1 350,0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9011E0">
        <w:rPr>
          <w:rFonts w:ascii="Times New Roman" w:hAnsi="Times New Roman"/>
          <w:sz w:val="28"/>
          <w:szCs w:val="28"/>
        </w:rPr>
        <w:t>2 389,6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</w:t>
      </w:r>
      <w:r w:rsidR="009011E0">
        <w:rPr>
          <w:rFonts w:ascii="Times New Roman" w:hAnsi="Times New Roman"/>
          <w:sz w:val="28"/>
          <w:szCs w:val="28"/>
        </w:rPr>
        <w:t>5 420,1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C788B" w:rsidRDefault="00EC788B" w:rsidP="00EC788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C85270">
        <w:rPr>
          <w:rFonts w:ascii="Times New Roman" w:hAnsi="Times New Roman"/>
          <w:color w:val="000000"/>
          <w:sz w:val="28"/>
          <w:szCs w:val="28"/>
        </w:rPr>
        <w:t>67 119,2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</w:t>
      </w:r>
      <w:r w:rsidR="009D30C9">
        <w:rPr>
          <w:rFonts w:ascii="Times New Roman" w:hAnsi="Times New Roman"/>
          <w:color w:val="000000"/>
          <w:sz w:val="28"/>
          <w:szCs w:val="28"/>
        </w:rPr>
        <w:t>51 930,2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132,9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виготовлення ПКД на проведення капремонту системи пожежної сигналізації загальноосвітніх закладів;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1 197,0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вишукувальні роботи для будівництва споруд цивільного захисту в ліцеях № 14, 25, 26;</w:t>
      </w:r>
    </w:p>
    <w:p w:rsidR="00EC788B" w:rsidRDefault="0082293E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6 159,8</w:t>
      </w:r>
      <w:r w:rsidR="00EC78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C788B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EC788B">
        <w:rPr>
          <w:rFonts w:ascii="Times New Roman" w:hAnsi="Times New Roman"/>
          <w:color w:val="000000"/>
          <w:sz w:val="28"/>
          <w:szCs w:val="28"/>
        </w:rPr>
        <w:t>. - капремонт та встановлення ліфтів у лікарні №4;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2 131,9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медичного обладнання для реабілітаційного відділення лікарні №4 та засобів індивідуального захисту для роботи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ангіографом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1 751,7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EC788B" w:rsidRDefault="00EC788B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48,7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поповнення бібліотечного фонду;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940,0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17 173,5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реконструкція місць почесних поховань загиблих (померлих) Захисників України;</w:t>
      </w:r>
    </w:p>
    <w:p w:rsidR="00EC788B" w:rsidRDefault="009D30C9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1 576,4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>. – виконання програми розробки  містобудівної документації;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4 153,0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господарювання;</w:t>
      </w:r>
    </w:p>
    <w:p w:rsidR="00EC788B" w:rsidRDefault="009D30C9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13 726,6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EC788B" w:rsidRDefault="009D30C9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2 166,7</w:t>
      </w:r>
      <w:r w:rsidR="00EC78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</w:rPr>
        <w:t>. – підтримка діяльності силових структур та ін.</w:t>
      </w:r>
    </w:p>
    <w:p w:rsidR="00EC788B" w:rsidRDefault="00EC788B" w:rsidP="00EC788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</w:t>
      </w:r>
      <w:r w:rsidR="00391C86">
        <w:rPr>
          <w:rFonts w:ascii="Times New Roman" w:hAnsi="Times New Roman"/>
          <w:color w:val="000000"/>
          <w:sz w:val="28"/>
          <w:szCs w:val="28"/>
        </w:rPr>
        <w:t>164,6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391C86">
        <w:rPr>
          <w:rFonts w:ascii="Times New Roman" w:hAnsi="Times New Roman"/>
          <w:sz w:val="28"/>
          <w:szCs w:val="28"/>
        </w:rPr>
        <w:t>15 024,4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88B" w:rsidRDefault="00EC788B" w:rsidP="00EC788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34005A" w:rsidRDefault="0034005A" w:rsidP="00F32E5F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71CD" w:rsidRPr="0034005A" w:rsidRDefault="00C571CD" w:rsidP="0034005A">
      <w:pPr>
        <w:tabs>
          <w:tab w:val="left" w:pos="990"/>
        </w:tabs>
        <w:rPr>
          <w:sz w:val="28"/>
          <w:szCs w:val="28"/>
          <w:lang w:val="uk-UA"/>
        </w:rPr>
      </w:pPr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4B6B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AE7"/>
    <w:rsid w:val="00310DB7"/>
    <w:rsid w:val="00311615"/>
    <w:rsid w:val="00312A34"/>
    <w:rsid w:val="00315320"/>
    <w:rsid w:val="0032333C"/>
    <w:rsid w:val="003233CF"/>
    <w:rsid w:val="00327AFB"/>
    <w:rsid w:val="00334004"/>
    <w:rsid w:val="0034005A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1C86"/>
    <w:rsid w:val="003931ED"/>
    <w:rsid w:val="00393DF0"/>
    <w:rsid w:val="00395CBB"/>
    <w:rsid w:val="00397DAC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5AD8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0623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77D50"/>
    <w:rsid w:val="0068114E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499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05A5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293E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E5313"/>
    <w:rsid w:val="008F1303"/>
    <w:rsid w:val="008F266E"/>
    <w:rsid w:val="008F2A72"/>
    <w:rsid w:val="008F2E66"/>
    <w:rsid w:val="008F6134"/>
    <w:rsid w:val="008F67D7"/>
    <w:rsid w:val="008F7993"/>
    <w:rsid w:val="00900718"/>
    <w:rsid w:val="009011E0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419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549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0C9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2E63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696"/>
    <w:rsid w:val="00AD0DD2"/>
    <w:rsid w:val="00AD5618"/>
    <w:rsid w:val="00AD7966"/>
    <w:rsid w:val="00AE15B7"/>
    <w:rsid w:val="00AE2BAC"/>
    <w:rsid w:val="00AE3A0A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2EBF"/>
    <w:rsid w:val="00BA5134"/>
    <w:rsid w:val="00BB205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270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35356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5D5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55B4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C788B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2E5F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66E8F"/>
  <w15:docId w15:val="{F62E48B1-AF1A-47AD-9E7A-19FD673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44E-2"/>
          <c:w val="0.89795918367350114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85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B-4CD6-993C-672E9BAA0B8F}"/>
                </c:ext>
              </c:extLst>
            </c:dLbl>
            <c:dLbl>
              <c:idx val="1"/>
              <c:layout>
                <c:manualLayout>
                  <c:x val="-1.202432548957340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B-4CD6-993C-672E9BAA0B8F}"/>
                </c:ext>
              </c:extLst>
            </c:dLbl>
            <c:dLbl>
              <c:idx val="2"/>
              <c:layout>
                <c:manualLayout>
                  <c:x val="6.7964631222251475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B-4CD6-993C-672E9BAA0B8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395496.3</c:v>
                </c:pt>
                <c:pt idx="1">
                  <c:v>39596.9</c:v>
                </c:pt>
                <c:pt idx="2">
                  <c:v>82388.7</c:v>
                </c:pt>
                <c:pt idx="3">
                  <c:v>570609.4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5B-4CD6-993C-672E9BAA0B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578E-2"/>
                  <c:y val="-3.9603885721181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5B-4CD6-993C-672E9BAA0B8F}"/>
                </c:ext>
              </c:extLst>
            </c:dLbl>
            <c:dLbl>
              <c:idx val="1"/>
              <c:layout>
                <c:manualLayout>
                  <c:x val="6.0163953323402422E-2"/>
                  <c:y val="-1.7872846713126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5B-4CD6-993C-672E9BAA0B8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5B-4CD6-993C-672E9BAA0B8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433130.4</c:v>
                </c:pt>
                <c:pt idx="1">
                  <c:v>38754</c:v>
                </c:pt>
                <c:pt idx="2">
                  <c:v>90230.2</c:v>
                </c:pt>
                <c:pt idx="3">
                  <c:v>614644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85B-4CD6-993C-672E9BAA0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2181248"/>
        <c:axId val="92182784"/>
        <c:axId val="0"/>
      </c:bar3DChart>
      <c:catAx>
        <c:axId val="9218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92182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2182784"/>
        <c:scaling>
          <c:orientation val="minMax"/>
          <c:max val="65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9218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42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B515C-D818-4849-8FBC-95E2617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48</cp:revision>
  <cp:lastPrinted>2021-05-07T06:08:00Z</cp:lastPrinted>
  <dcterms:created xsi:type="dcterms:W3CDTF">2022-01-11T08:16:00Z</dcterms:created>
  <dcterms:modified xsi:type="dcterms:W3CDTF">2025-10-03T10:29:00Z</dcterms:modified>
</cp:coreProperties>
</file>